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5F8F" w14:textId="77777777" w:rsidR="009F4867" w:rsidRDefault="00000000">
      <w:pPr>
        <w:jc w:val="center"/>
        <w:rPr>
          <w:b/>
        </w:rPr>
      </w:pPr>
      <w:r>
        <w:rPr>
          <w:b/>
          <w:sz w:val="36"/>
          <w:szCs w:val="36"/>
        </w:rPr>
        <w:t>Gartner reconoce a Netskope como líder en SSE, un mercado de USD $25 MMDD para 2027</w:t>
      </w:r>
      <w:r>
        <w:rPr>
          <w:b/>
          <w:sz w:val="36"/>
          <w:szCs w:val="36"/>
        </w:rPr>
        <w:br/>
      </w:r>
    </w:p>
    <w:p w14:paraId="14E5F4AD" w14:textId="77777777" w:rsidR="009F4867" w:rsidRDefault="00000000">
      <w:pPr>
        <w:numPr>
          <w:ilvl w:val="0"/>
          <w:numId w:val="1"/>
        </w:numPr>
        <w:rPr>
          <w:i/>
          <w:sz w:val="20"/>
          <w:szCs w:val="20"/>
        </w:rPr>
      </w:pPr>
      <w:r>
        <w:rPr>
          <w:i/>
          <w:sz w:val="20"/>
          <w:szCs w:val="20"/>
        </w:rPr>
        <w:t>La compañía fue reconocida por su capacidad de ejecución en materia de servicios SSE dentro del Cuadrante Mágico de Gartner 2024.</w:t>
      </w:r>
    </w:p>
    <w:p w14:paraId="54E850E9" w14:textId="77777777" w:rsidR="009F4867" w:rsidRDefault="00000000">
      <w:pPr>
        <w:numPr>
          <w:ilvl w:val="0"/>
          <w:numId w:val="1"/>
        </w:numPr>
        <w:rPr>
          <w:i/>
          <w:sz w:val="20"/>
          <w:szCs w:val="20"/>
        </w:rPr>
      </w:pPr>
      <w:r>
        <w:rPr>
          <w:i/>
          <w:sz w:val="20"/>
          <w:szCs w:val="20"/>
        </w:rPr>
        <w:t>Es el tercer año consecutivo que Netskope es reconocido con la más alta calificación en dicho informe.</w:t>
      </w:r>
    </w:p>
    <w:p w14:paraId="6F74E018" w14:textId="77777777" w:rsidR="009F4867" w:rsidRDefault="009F4867"/>
    <w:p w14:paraId="71C5F6AC" w14:textId="0355AB4D" w:rsidR="009F4867" w:rsidRDefault="006609B4">
      <w:pPr>
        <w:jc w:val="both"/>
      </w:pPr>
      <w:r>
        <w:t>Bogotá</w:t>
      </w:r>
      <w:r w:rsidR="00000000">
        <w:t xml:space="preserve">. </w:t>
      </w:r>
      <w:r>
        <w:t>23</w:t>
      </w:r>
      <w:r w:rsidR="00000000">
        <w:t xml:space="preserve"> de abril de 2024.- Netskope, la compañía que  redefine la seguridad en la nube y las redes empresariales a través de su plataforma SASE, fue reconocida por Gartner Inc. por tercer año consecutivo en su </w:t>
      </w:r>
      <w:hyperlink r:id="rId7">
        <w:r w:rsidR="00000000">
          <w:rPr>
            <w:color w:val="1155CC"/>
            <w:u w:val="single"/>
          </w:rPr>
          <w:t>Cuadrante Mágico (Gartner Magic Quadrant)</w:t>
        </w:r>
      </w:hyperlink>
      <w:r w:rsidR="00000000">
        <w:t xml:space="preserve"> como plataforma líder en servicios Security Service Edge (SSE). </w:t>
      </w:r>
      <w:r w:rsidR="00000000">
        <w:br/>
      </w:r>
      <w:r w:rsidR="00000000">
        <w:br/>
        <w:t xml:space="preserve">El reporte muestra que Netskope tiene la mayor Capacidad de Ejecución que el resto de los servicios disponibles, además de que va más allá en materia de Visión sobre SSE; cabe destacar que este mismo reconocimiento fue otorgado para la compañía, en ambas materias, </w:t>
      </w:r>
      <w:hyperlink r:id="rId8">
        <w:r w:rsidR="00000000">
          <w:rPr>
            <w:color w:val="1155CC"/>
            <w:u w:val="single"/>
          </w:rPr>
          <w:t>también en 2023.</w:t>
        </w:r>
      </w:hyperlink>
    </w:p>
    <w:p w14:paraId="52950B5C" w14:textId="77777777" w:rsidR="009F4867" w:rsidRDefault="009F4867">
      <w:pPr>
        <w:jc w:val="both"/>
      </w:pPr>
    </w:p>
    <w:p w14:paraId="3AE1B166" w14:textId="77777777" w:rsidR="009F4867" w:rsidRDefault="00000000">
      <w:pPr>
        <w:jc w:val="both"/>
      </w:pPr>
      <w:r>
        <w:t xml:space="preserve">Además de la mención por parte de Gartner, y para reforzar la validación consistente de su liderazgo en SSE y SASE, la firma fue recientemente reconocida con la puntuación más alta en la categoría de “Oferta Actual” en el informe </w:t>
      </w:r>
      <w:hyperlink r:id="rId9">
        <w:r>
          <w:rPr>
            <w:color w:val="1155CC"/>
            <w:u w:val="single"/>
          </w:rPr>
          <w:t>“The Forrester Wave: Plataformas de SSE en el Q1 2024”</w:t>
        </w:r>
      </w:hyperlink>
      <w:r>
        <w:t>; por otra parte, en 2023 fue reconocido como líder en SSE y Acceso a Red de Confianza Cero (ZTNA) por</w:t>
      </w:r>
      <w:hyperlink r:id="rId10">
        <w:r>
          <w:rPr>
            <w:color w:val="1155CC"/>
            <w:u w:val="single"/>
          </w:rPr>
          <w:t xml:space="preserve"> IDC MarketScape.</w:t>
        </w:r>
      </w:hyperlink>
    </w:p>
    <w:p w14:paraId="7F5F5BE2" w14:textId="77777777" w:rsidR="009F4867" w:rsidRDefault="009F4867">
      <w:pPr>
        <w:jc w:val="both"/>
      </w:pPr>
    </w:p>
    <w:p w14:paraId="0854F866" w14:textId="77777777" w:rsidR="009F4867" w:rsidRDefault="00000000">
      <w:pPr>
        <w:jc w:val="both"/>
      </w:pPr>
      <w:r>
        <w:t xml:space="preserve">Netskope señala, en el marco de los reconocimientos antes citados, que más organizaciones que nunca confían hoy día en su tecnología como proveedor de SSE y SASE, incluyendo más de 3,000 clientes, decenas de millones de usuarios y más de 30 de las empresas incluídas en Fortune 100. </w:t>
      </w:r>
    </w:p>
    <w:p w14:paraId="3ECA07F1" w14:textId="77777777" w:rsidR="009F4867" w:rsidRDefault="009F4867">
      <w:pPr>
        <w:jc w:val="both"/>
      </w:pPr>
    </w:p>
    <w:p w14:paraId="679F8CCE" w14:textId="77777777" w:rsidR="009F4867" w:rsidRDefault="00000000">
      <w:pPr>
        <w:jc w:val="both"/>
      </w:pPr>
      <w:r>
        <w:t xml:space="preserve">Esto se debe a que Netskope Intelligent SSE, que forma parte de la plataforma Netskope One, utiliza principios de confianza cero e Inteligencia Artificial (IA) para gobernar el acceso, proteger los datos, detener amenazas y habilitar una conectividad segura desde cualquier lugar utilizando módulos integrados y convergentes de Netskope, incluyendo el Corredor de Seguridad de Acceso a la Nube (CASB), Puerta de Enlace Web Segura (SWG), ZTNA, Aislamiento de Navegador Remoto (RBI), Firewall de Nube, SSPM y Gestión de la Experiencia Digital (DEM). </w:t>
      </w:r>
      <w:r>
        <w:br/>
      </w:r>
      <w:r>
        <w:br/>
        <w:t>Netskope One también está potenciado por la red Netskope NewEdge, una nube privada de seguridad mundial diseñada para ofrecer el acceso más rápido y seguro a datos, aplicaciones y sitios web sin comprometer el rendimiento de la red.</w:t>
      </w:r>
    </w:p>
    <w:p w14:paraId="6EE99605" w14:textId="77777777" w:rsidR="009F4867" w:rsidRDefault="009F4867">
      <w:pPr>
        <w:jc w:val="both"/>
      </w:pPr>
    </w:p>
    <w:p w14:paraId="122D4032" w14:textId="77777777" w:rsidR="009F4867" w:rsidRDefault="00000000">
      <w:pPr>
        <w:numPr>
          <w:ilvl w:val="0"/>
          <w:numId w:val="3"/>
        </w:numPr>
        <w:jc w:val="both"/>
        <w:rPr>
          <w:sz w:val="28"/>
          <w:szCs w:val="28"/>
        </w:rPr>
      </w:pPr>
      <w:r>
        <w:rPr>
          <w:sz w:val="28"/>
          <w:szCs w:val="28"/>
        </w:rPr>
        <w:t>Demanda del mercado SSE</w:t>
      </w:r>
    </w:p>
    <w:p w14:paraId="6D0473BC" w14:textId="77777777" w:rsidR="009F4867" w:rsidRDefault="009F4867">
      <w:pPr>
        <w:jc w:val="both"/>
      </w:pPr>
    </w:p>
    <w:p w14:paraId="5ED8EEA1" w14:textId="77777777" w:rsidR="009F4867" w:rsidRDefault="00000000">
      <w:pPr>
        <w:jc w:val="both"/>
        <w:rPr>
          <w:i/>
        </w:rPr>
      </w:pPr>
      <w:r>
        <w:t xml:space="preserve">Trabajar de manera segura y optimizada desde cualquier lugar ya se reconoce como una necesidad y una oportunidad comercial primordial para todos los CIOs y sus equipos. El </w:t>
      </w:r>
      <w:r>
        <w:lastRenderedPageBreak/>
        <w:t xml:space="preserve">crecimiento de SSE continúa a la par con el aumento general en la adopción empresarial de una arquitectura SASE. En un Análisis de Pronóstico de octubre de 2023, Gartner afirmó que: </w:t>
      </w:r>
      <w:r>
        <w:rPr>
          <w:i/>
        </w:rPr>
        <w:t>"En los próximos cinco años, el mercado para el SSE crecerá a una tasa anual compuesta del 29%, alcanzando más de USD $25 mil millones para 2027."</w:t>
      </w:r>
    </w:p>
    <w:p w14:paraId="43476FBA" w14:textId="77777777" w:rsidR="009F4867" w:rsidRDefault="009F4867">
      <w:pPr>
        <w:jc w:val="both"/>
      </w:pPr>
    </w:p>
    <w:p w14:paraId="26961939" w14:textId="77777777" w:rsidR="009F4867" w:rsidRDefault="00000000">
      <w:pPr>
        <w:jc w:val="both"/>
      </w:pPr>
      <w:r>
        <w:t xml:space="preserve">Gartner también predice que </w:t>
      </w:r>
      <w:r>
        <w:rPr>
          <w:i/>
        </w:rPr>
        <w:t>"Para 2027, los mayores proveedores de SD-WAN y SSE ofrecerán una solución SASE completamente convergente de un solo proveedor"</w:t>
      </w:r>
      <w:r>
        <w:t>, una oferta que Netskope ya proporciona y para la cual continúa entregando nuevas características e innovaciones.</w:t>
      </w:r>
    </w:p>
    <w:p w14:paraId="675273B3" w14:textId="77777777" w:rsidR="009F4867" w:rsidRDefault="009F4867">
      <w:pPr>
        <w:jc w:val="both"/>
      </w:pPr>
    </w:p>
    <w:p w14:paraId="612D8B9E" w14:textId="77777777" w:rsidR="009F4867" w:rsidRDefault="00000000">
      <w:pPr>
        <w:jc w:val="both"/>
      </w:pPr>
      <w:r>
        <w:rPr>
          <w:i/>
        </w:rPr>
        <w:t>"Los clientes de Netskope saben que la seguridad de mejor calidad y el rendimiento más rápido son simultáneamente alcanzables. Son fundamentales para cómo transforman sus inversiones en seguridad y redes y abordan la proliferación de la nube y la IA que estamos viendo en la empresa",</w:t>
      </w:r>
      <w:r>
        <w:t xml:space="preserve"> dijo Sanjay Beri, CEO de Netskope. "</w:t>
      </w:r>
      <w:r>
        <w:rPr>
          <w:i/>
        </w:rPr>
        <w:t>Este es un logro importante para nosotros; estar colocados como los más altos en ejecución y visión en SSE por tres años consecutivos. Estoy extremadamente orgulloso de todo nuestro equipo de Netskope, clientes y socios por lo que hemos logrado en SSE, SASE y confianza cero. Esto es apenas el comienzo</w:t>
      </w:r>
      <w:r>
        <w:t>".</w:t>
      </w:r>
    </w:p>
    <w:p w14:paraId="2B521453" w14:textId="77777777" w:rsidR="009F4867" w:rsidRDefault="009F4867">
      <w:pPr>
        <w:jc w:val="both"/>
      </w:pPr>
    </w:p>
    <w:p w14:paraId="06E28B86" w14:textId="77777777" w:rsidR="009F4867" w:rsidRDefault="00000000">
      <w:pPr>
        <w:jc w:val="both"/>
      </w:pPr>
      <w:r>
        <w:t>Netskope continúa dominando el mercado de SSE y SASE, innovando en IA y protección de datos y amenazas, y construyendo asociaciones ecosistémicas críticas a través de la tecnología empresarial. Los anuncios recientes incluyen:</w:t>
      </w:r>
    </w:p>
    <w:p w14:paraId="3C0F3F37" w14:textId="77777777" w:rsidR="009F4867" w:rsidRDefault="009F4867">
      <w:pPr>
        <w:jc w:val="both"/>
      </w:pPr>
    </w:p>
    <w:p w14:paraId="2FF8E8EA" w14:textId="77777777" w:rsidR="009F4867" w:rsidRDefault="00000000">
      <w:pPr>
        <w:numPr>
          <w:ilvl w:val="0"/>
          <w:numId w:val="2"/>
        </w:numPr>
        <w:jc w:val="both"/>
      </w:pPr>
      <w:r>
        <w:rPr>
          <w:b/>
        </w:rPr>
        <w:t>Skope AI:</w:t>
      </w:r>
      <w:r>
        <w:t xml:space="preserve"> La suite de innovaciones de inteligencia artificial y aprendizaje automático (AI/ML) de Netskope ofrece protección moderna de datos y defensa contra amenazas cibernéticas, superando las limitaciones de las tecnologías de seguridad convencionales y proporcionando protección mediante técnicas a velocidad de IA no encontradas en productos de otros proveedores de SASE.</w:t>
      </w:r>
    </w:p>
    <w:p w14:paraId="7B0C1ADE" w14:textId="77777777" w:rsidR="009F4867" w:rsidRDefault="00000000">
      <w:pPr>
        <w:numPr>
          <w:ilvl w:val="0"/>
          <w:numId w:val="2"/>
        </w:numPr>
        <w:jc w:val="both"/>
      </w:pPr>
      <w:r>
        <w:rPr>
          <w:b/>
        </w:rPr>
        <w:t>Experiencia global:</w:t>
      </w:r>
      <w:r>
        <w:t xml:space="preserve"> Netskope se convirtió en el primer proveedor de la industria capaz de ofrecer SSE globalmente con una experiencia localizada sin costuras para más de 220 países y territorios.</w:t>
      </w:r>
    </w:p>
    <w:p w14:paraId="1A6FA9E4" w14:textId="77777777" w:rsidR="009F4867" w:rsidRDefault="00000000">
      <w:pPr>
        <w:numPr>
          <w:ilvl w:val="0"/>
          <w:numId w:val="2"/>
        </w:numPr>
        <w:jc w:val="both"/>
      </w:pPr>
      <w:r>
        <w:rPr>
          <w:b/>
        </w:rPr>
        <w:t>Autorización FedRAMP® High:</w:t>
      </w:r>
      <w:r>
        <w:t xml:space="preserve"> Netskope anunció que su red Netskope GovCloud recibió la autorización del Programa Federal de Gestión y Autorización de Riesgos (FedRAMP) en el Nivel de Impacto "Alto" emitido con el patrocinio del Departamento de Asuntos de Veteranos de Estados Unidos.</w:t>
      </w:r>
    </w:p>
    <w:p w14:paraId="48D55164" w14:textId="77777777" w:rsidR="009F4867" w:rsidRDefault="00000000">
      <w:pPr>
        <w:numPr>
          <w:ilvl w:val="0"/>
          <w:numId w:val="2"/>
        </w:numPr>
        <w:jc w:val="both"/>
      </w:pPr>
      <w:r>
        <w:rPr>
          <w:b/>
        </w:rPr>
        <w:t xml:space="preserve">SASE adaptado para el mercado medio: </w:t>
      </w:r>
      <w:r>
        <w:t>Netskope expandió su familia SASE de un solo proveedor para ofrecer una solución amigable, creada específicamente para las necesidades del mercado medio. Netskope ahora ofrece la gama más completa de opciones SASE de un solo proveedor que se alinean con los requisitos de diferentes tamaños de empresas.</w:t>
      </w:r>
    </w:p>
    <w:p w14:paraId="3AA040B2" w14:textId="77777777" w:rsidR="009F4867" w:rsidRDefault="00000000">
      <w:pPr>
        <w:numPr>
          <w:ilvl w:val="0"/>
          <w:numId w:val="2"/>
        </w:numPr>
        <w:jc w:val="both"/>
      </w:pPr>
      <w:r>
        <w:rPr>
          <w:b/>
        </w:rPr>
        <w:t>Asociaciones globales:</w:t>
      </w:r>
      <w:r>
        <w:t xml:space="preserve"> A lo largo del último año, Netskope ha expandido colaboraciones y alianzas estratégicas con importantes proveedores de servicios gestionados, integradores de sistemas globales y socios de alianzas en todo el mundo, incluyendo BT, Deloitte, Orange, Telstra, Wipro, entre muchos otros. </w:t>
      </w:r>
      <w:r>
        <w:br/>
      </w:r>
      <w:r>
        <w:br/>
        <w:t xml:space="preserve">Netskope también continúa integrándose y ayudando a los clientes a asegurar sus </w:t>
      </w:r>
      <w:r>
        <w:lastRenderedPageBreak/>
        <w:t>despliegues con los principales proveedores de nube como Amazon Web Services, Google, Microsoft y decenas de miles de proveedores de SaaS.</w:t>
      </w:r>
    </w:p>
    <w:p w14:paraId="30DEBE90" w14:textId="77777777" w:rsidR="009F4867" w:rsidRDefault="00000000">
      <w:pPr>
        <w:jc w:val="both"/>
        <w:rPr>
          <w:sz w:val="26"/>
          <w:szCs w:val="26"/>
        </w:rPr>
      </w:pPr>
      <w:r>
        <w:t xml:space="preserve">Para obtener más información sobre las soluciones de seguridad SSE de Netskope, visite </w:t>
      </w:r>
      <w:hyperlink r:id="rId11">
        <w:r>
          <w:rPr>
            <w:rFonts w:ascii="Arial Nova" w:eastAsia="Arial Nova" w:hAnsi="Arial Nova" w:cs="Arial Nova"/>
            <w:color w:val="1155CC"/>
            <w:u w:val="single"/>
          </w:rPr>
          <w:t>https://www.netskope.com/es/</w:t>
        </w:r>
      </w:hyperlink>
      <w:r>
        <w:rPr>
          <w:rFonts w:ascii="Arial Nova" w:eastAsia="Arial Nova" w:hAnsi="Arial Nova" w:cs="Arial Nova"/>
        </w:rPr>
        <w:t xml:space="preserve"> </w:t>
      </w:r>
    </w:p>
    <w:p w14:paraId="6C41623E" w14:textId="77777777" w:rsidR="009F4867" w:rsidRDefault="009F4867">
      <w:pPr>
        <w:jc w:val="both"/>
      </w:pPr>
    </w:p>
    <w:p w14:paraId="2362CCC0" w14:textId="77777777" w:rsidR="009F4867" w:rsidRDefault="00000000">
      <w:pPr>
        <w:jc w:val="both"/>
        <w:rPr>
          <w:sz w:val="18"/>
          <w:szCs w:val="18"/>
        </w:rPr>
      </w:pPr>
      <w:r>
        <w:rPr>
          <w:b/>
          <w:sz w:val="18"/>
          <w:szCs w:val="18"/>
        </w:rPr>
        <w:t>Gartner disclaimer:</w:t>
      </w:r>
      <w:r>
        <w:rPr>
          <w:sz w:val="18"/>
          <w:szCs w:val="18"/>
        </w:rPr>
        <w:t xml:space="preserve"> Gartner no respalda a ningún proveedor, producto o servicio descrito en sus publicaciones de investigación y no aconseja a los usuarios de tecnología seleccionar sólo a aquellos proveedores con las calificaciones más altas u otra designación. Las publicaciones de investigación de Gartner consisten en las opiniones de la organización de investigación de Gartner y no deben interpretarse como declaraciones de hecho. Gartner rechaza todas las garantías, expresas o implícitas, con respecto a esta investigación, incluida cualquier garantía de comerciabilidad o idoneidad para un propósito particular.</w:t>
      </w:r>
    </w:p>
    <w:p w14:paraId="2055AEB4" w14:textId="77777777" w:rsidR="009F4867" w:rsidRDefault="009F4867">
      <w:pPr>
        <w:jc w:val="both"/>
      </w:pPr>
    </w:p>
    <w:p w14:paraId="121BF7C6" w14:textId="77777777" w:rsidR="009F4867" w:rsidRDefault="00000000">
      <w:pPr>
        <w:jc w:val="both"/>
        <w:rPr>
          <w:rFonts w:ascii="Arial Nova" w:eastAsia="Arial Nova" w:hAnsi="Arial Nova" w:cs="Arial Nova"/>
          <w:sz w:val="18"/>
          <w:szCs w:val="18"/>
        </w:rPr>
      </w:pPr>
      <w:r>
        <w:rPr>
          <w:sz w:val="18"/>
          <w:szCs w:val="18"/>
        </w:rPr>
        <w:t>Gartner y Magic Quadrant son marcas comerciales registradas de Gartner, Inc. y/o sus afiliadas en los Estados Unidos y en todo el mundo y se utilizan en este texto con previa autorización de la firma. Todos los derechos reservados.</w:t>
      </w:r>
      <w:r>
        <w:rPr>
          <w:sz w:val="18"/>
          <w:szCs w:val="18"/>
        </w:rPr>
        <w:br/>
      </w:r>
      <w:r>
        <w:rPr>
          <w:sz w:val="18"/>
          <w:szCs w:val="18"/>
        </w:rPr>
        <w:br/>
      </w:r>
      <w:r>
        <w:rPr>
          <w:rFonts w:ascii="Arial Nova" w:eastAsia="Arial Nova" w:hAnsi="Arial Nova" w:cs="Arial Nova"/>
          <w:b/>
          <w:sz w:val="18"/>
          <w:szCs w:val="18"/>
        </w:rPr>
        <w:t>Acerca de Netskope</w:t>
      </w:r>
      <w:r>
        <w:rPr>
          <w:rFonts w:ascii="Calibri" w:eastAsia="Calibri" w:hAnsi="Calibri" w:cs="Calibri"/>
        </w:rPr>
        <w:br/>
      </w:r>
      <w:r>
        <w:rPr>
          <w:rFonts w:ascii="Arial Nova" w:eastAsia="Arial Nova" w:hAnsi="Arial Nova" w:cs="Arial Nova"/>
          <w:sz w:val="18"/>
          <w:szCs w:val="18"/>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2">
        <w:r>
          <w:rPr>
            <w:rFonts w:ascii="Arial Nova" w:eastAsia="Arial Nova" w:hAnsi="Arial Nova" w:cs="Arial Nova"/>
            <w:color w:val="1155CC"/>
            <w:sz w:val="18"/>
            <w:szCs w:val="18"/>
            <w:u w:val="single"/>
          </w:rPr>
          <w:t>https://www.netskope.com/es/</w:t>
        </w:r>
      </w:hyperlink>
      <w:r>
        <w:rPr>
          <w:rFonts w:ascii="Arial Nova" w:eastAsia="Arial Nova" w:hAnsi="Arial Nova" w:cs="Arial Nova"/>
          <w:sz w:val="18"/>
          <w:szCs w:val="18"/>
        </w:rPr>
        <w:t xml:space="preserve"> </w:t>
      </w:r>
    </w:p>
    <w:p w14:paraId="55FD2C3D" w14:textId="77777777" w:rsidR="009F4867" w:rsidRDefault="009F4867">
      <w:pPr>
        <w:jc w:val="both"/>
        <w:rPr>
          <w:sz w:val="18"/>
          <w:szCs w:val="18"/>
        </w:rPr>
      </w:pPr>
    </w:p>
    <w:p w14:paraId="6C96FAAC" w14:textId="77777777" w:rsidR="009F4867" w:rsidRDefault="009F4867"/>
    <w:sectPr w:rsidR="009F4867">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E7A3" w14:textId="77777777" w:rsidR="00685339" w:rsidRDefault="00685339">
      <w:pPr>
        <w:spacing w:line="240" w:lineRule="auto"/>
      </w:pPr>
      <w:r>
        <w:separator/>
      </w:r>
    </w:p>
  </w:endnote>
  <w:endnote w:type="continuationSeparator" w:id="0">
    <w:p w14:paraId="75C94679" w14:textId="77777777" w:rsidR="00685339" w:rsidRDefault="0068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949D" w14:textId="77777777" w:rsidR="00685339" w:rsidRDefault="00685339">
      <w:pPr>
        <w:spacing w:line="240" w:lineRule="auto"/>
      </w:pPr>
      <w:r>
        <w:separator/>
      </w:r>
    </w:p>
  </w:footnote>
  <w:footnote w:type="continuationSeparator" w:id="0">
    <w:p w14:paraId="752F9C7A" w14:textId="77777777" w:rsidR="00685339" w:rsidRDefault="00685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F781" w14:textId="77777777" w:rsidR="009F4867" w:rsidRDefault="00000000">
    <w:r>
      <w:rPr>
        <w:noProof/>
      </w:rPr>
      <w:drawing>
        <wp:inline distT="114300" distB="114300" distL="114300" distR="114300" wp14:anchorId="213B4CB5" wp14:editId="7AFA7811">
          <wp:extent cx="31242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54C3"/>
    <w:multiLevelType w:val="multilevel"/>
    <w:tmpl w:val="2C087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9831EC"/>
    <w:multiLevelType w:val="multilevel"/>
    <w:tmpl w:val="CEE4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C065B"/>
    <w:multiLevelType w:val="multilevel"/>
    <w:tmpl w:val="0516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6288821">
    <w:abstractNumId w:val="0"/>
  </w:num>
  <w:num w:numId="2" w16cid:durableId="310058032">
    <w:abstractNumId w:val="1"/>
  </w:num>
  <w:num w:numId="3" w16cid:durableId="119788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67"/>
    <w:rsid w:val="006609B4"/>
    <w:rsid w:val="00685339"/>
    <w:rsid w:val="009F4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10E404C"/>
  <w15:docId w15:val="{77E226BB-3CF8-054C-922C-A6103283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press-releases/netskope-named-a-leader-in-the-gartner-magic-quadrant-for-security-service-edge-for-2nd-year-in-a-ro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tskope.com/why-netskope/gartner-magic-quadrant-for-security-service-edge" TargetMode="External"/><Relationship Id="rId12" Type="http://schemas.openxmlformats.org/officeDocument/2006/relationships/hyperlink" Target="https://www.netskope.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skope.co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tskope.com/press-releases/netskope-recognized-as-a-leader-in-sse-and-ztna-in-new-idc-marketscape-reports" TargetMode="External"/><Relationship Id="rId4" Type="http://schemas.openxmlformats.org/officeDocument/2006/relationships/webSettings" Target="webSettings.xml"/><Relationship Id="rId9" Type="http://schemas.openxmlformats.org/officeDocument/2006/relationships/hyperlink" Target="https://www.netskope.com/press-releases/netskope-named-a-leader-in-security-service-edge-solutions-by-independent-research-fi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7042</Characters>
  <Application>Microsoft Office Word</Application>
  <DocSecurity>0</DocSecurity>
  <Lines>58</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Renan Rodriguez</cp:lastModifiedBy>
  <cp:revision>2</cp:revision>
  <dcterms:created xsi:type="dcterms:W3CDTF">2024-04-23T22:26:00Z</dcterms:created>
  <dcterms:modified xsi:type="dcterms:W3CDTF">2024-04-23T22:27:00Z</dcterms:modified>
</cp:coreProperties>
</file>